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1" w:rsidRPr="0056222D" w:rsidRDefault="00876871" w:rsidP="005C4541">
      <w:pPr>
        <w:pStyle w:val="a9"/>
        <w:tabs>
          <w:tab w:val="left" w:pos="8931"/>
        </w:tabs>
        <w:jc w:val="right"/>
      </w:pPr>
      <w:r w:rsidRPr="0056222D">
        <w:t xml:space="preserve">Приложение </w:t>
      </w:r>
      <w:r w:rsidR="004B0E30">
        <w:t xml:space="preserve">2 </w:t>
      </w:r>
      <w:r w:rsidRPr="0056222D">
        <w:t>к письму</w:t>
      </w:r>
      <w:r w:rsidR="008F494C">
        <w:t xml:space="preserve"> от 12.07.2021 года</w:t>
      </w:r>
    </w:p>
    <w:p w:rsidR="00440EF8" w:rsidRDefault="00440EF8" w:rsidP="00F06C54">
      <w:pPr>
        <w:pStyle w:val="a9"/>
      </w:pPr>
    </w:p>
    <w:p w:rsidR="008F494C" w:rsidRDefault="008F494C" w:rsidP="00F06C54">
      <w:pPr>
        <w:pStyle w:val="a9"/>
      </w:pPr>
      <w:bookmarkStart w:id="0" w:name="_GoBack"/>
      <w:bookmarkEnd w:id="0"/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</w:t>
      </w:r>
      <w:proofErr w:type="gramStart"/>
      <w:r w:rsidRPr="003A0006">
        <w:rPr>
          <w:rStyle w:val="titlerazdel"/>
          <w:b/>
          <w:sz w:val="26"/>
          <w:szCs w:val="26"/>
        </w:rPr>
        <w:t>причинах</w:t>
      </w:r>
      <w:proofErr w:type="gramEnd"/>
      <w:r w:rsidRPr="003A0006">
        <w:rPr>
          <w:rStyle w:val="titlerazdel"/>
          <w:b/>
          <w:sz w:val="26"/>
          <w:szCs w:val="26"/>
        </w:rPr>
        <w:t xml:space="preserve"> ее роста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9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1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2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Повышение тарифов </w:t>
      </w:r>
      <w:proofErr w:type="gramStart"/>
      <w:r w:rsidRPr="003A0006">
        <w:rPr>
          <w:rFonts w:eastAsia="Calibri"/>
          <w:sz w:val="26"/>
          <w:szCs w:val="26"/>
        </w:rPr>
        <w:t>в</w:t>
      </w:r>
      <w:proofErr w:type="gramEnd"/>
      <w:r w:rsidRPr="003A0006">
        <w:rPr>
          <w:rFonts w:eastAsia="Calibri"/>
          <w:sz w:val="26"/>
          <w:szCs w:val="26"/>
        </w:rPr>
        <w:t xml:space="preserve"> </w:t>
      </w:r>
      <w:proofErr w:type="gramStart"/>
      <w:r w:rsidRPr="003A0006">
        <w:rPr>
          <w:rFonts w:eastAsia="Calibri"/>
          <w:sz w:val="26"/>
          <w:szCs w:val="26"/>
        </w:rPr>
        <w:t>Ханты-Мансийском</w:t>
      </w:r>
      <w:proofErr w:type="gramEnd"/>
      <w:r w:rsidRPr="003A0006">
        <w:rPr>
          <w:rFonts w:eastAsia="Calibri"/>
          <w:sz w:val="26"/>
          <w:szCs w:val="26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</w:t>
      </w:r>
      <w:r w:rsidRPr="003A0006">
        <w:rPr>
          <w:rFonts w:eastAsia="Calibri"/>
          <w:sz w:val="26"/>
          <w:szCs w:val="26"/>
        </w:rPr>
        <w:lastRenderedPageBreak/>
        <w:t>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13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4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  <w:proofErr w:type="gramEnd"/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>, определяемого по показаниям приборов</w:t>
      </w:r>
      <w:proofErr w:type="gramEnd"/>
      <w:r w:rsidRPr="003A0006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954846" w:rsidP="0081544D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53403F2" wp14:editId="578822FE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906" cy="2077724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Pr="00952AD6" w:rsidRDefault="00F8005C" w:rsidP="0081544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F2C87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AF2C87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AF2C87">
                                  <w:rPr>
                                    <w:b/>
                                  </w:rPr>
                                  <w:t>(норматив потребления или норматив накопления</w:t>
                                </w:r>
                                <w:r>
                                  <w:rPr>
                                    <w:b/>
                                  </w:rPr>
                                  <w:t xml:space="preserve"> ТКО)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952AD6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3403F2" id="Группа 13" o:spid="_x0000_s1026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    <v:group id="Group 3" o:spid="_x0000_s1027" style="position:absolute;left:29;top:716;width:4175;height:746" coordorigin="29,716" coordsize="4175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29;top:716;width:149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81544D" w:rsidRDefault="0081544D" w:rsidP="0081544D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81544D" w:rsidRDefault="0081544D" w:rsidP="0081544D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81544D" w:rsidRDefault="0081544D" w:rsidP="0081544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613;top:988;width:358;height:186" coordorigin="1613,993" coordsize="35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613;top:993;width:338;height:4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43;top:1129;width:328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81544D" w:rsidRPr="00952AD6" w:rsidRDefault="0081544D" w:rsidP="0081544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F2C87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AF2C87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F2C87">
                            <w:rPr>
                              <w:b/>
                            </w:rPr>
                            <w:t>(норматив потребления или норматив накопления</w:t>
                          </w:r>
                          <w:r>
                            <w:rPr>
                              <w:b/>
                            </w:rPr>
                            <w:t xml:space="preserve"> ТКО)</w:t>
                          </w:r>
                        </w:p>
                        <w:p w:rsidR="0081544D" w:rsidRDefault="0081544D" w:rsidP="0081544D">
                          <w:pPr>
                            <w:jc w:val="center"/>
                          </w:pPr>
                        </w:p>
                        <w:p w:rsidR="0081544D" w:rsidRDefault="0081544D" w:rsidP="0081544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81544D" w:rsidRDefault="0081544D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952AD6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81544D" w:rsidRDefault="0081544D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81544D" w:rsidRDefault="00CB3F87" w:rsidP="008154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31B35" wp14:editId="73878F4D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443F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407.2pt;margin-top:.75pt;width:22.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00923" wp14:editId="2B9B7E99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C3021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94.3pt;margin-top:4.5pt;width:2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    <v:stroke joinstyle="miter"/>
              </v:shape>
            </w:pict>
          </mc:Fallback>
        </mc:AlternateConten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CB3F87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D5AAC3" wp14:editId="7004B222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F23D00" w:rsidRDefault="00F8005C" w:rsidP="0081544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i w:val="0"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i w:val="0"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F8005C" w:rsidRPr="00494227" w:rsidRDefault="00F8005C" w:rsidP="0081544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D5A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-25.35pt;margin-top:19.9pt;width:28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B5mPCyRwIA&#10;AGQEAAAOAAAAAAAAAAAAAAAAAC4CAABkcnMvZTJvRG9jLnhtbFBLAQItABQABgAIAAAAIQDp8qsJ&#10;3QAAAAgBAAAPAAAAAAAAAAAAAAAAAKEEAABkcnMvZG93bnJldi54bWxQSwUGAAAAAAQABADzAAAA&#10;qwUAAAAA&#10;" filled="f" stroked="f">
                      <v:textbox>
                        <w:txbxContent>
                          <w:p w:rsidR="0081544D" w:rsidRPr="00F23D00" w:rsidRDefault="0081544D" w:rsidP="0081544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i w:val="0"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i w:val="0"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81544D" w:rsidRPr="00494227" w:rsidRDefault="0081544D" w:rsidP="0081544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544D" w:rsidRPr="0049422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29ED3" wp14:editId="4AB3AF23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952AD6" w:rsidRDefault="00F8005C" w:rsidP="0081544D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F8005C" w:rsidRDefault="00F8005C" w:rsidP="008154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2AD6">
                                    <w:rPr>
                                      <w:rStyle w:val="ae"/>
                                      <w:rFonts w:cs="Calibri"/>
                                      <w:i w:val="0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A29ED3" id="Надпись 34" o:spid="_x0000_s1041" type="#_x0000_t202" style="position:absolute;margin-left:261.6pt;margin-top:412.55pt;width:40.1pt;height:9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" filled="f" stroked="f">
                      <v:textbox style="mso-fit-shape-to-text:t">
                        <w:txbxContent>
                          <w:p w:rsidR="0081544D" w:rsidRPr="00952AD6" w:rsidRDefault="0081544D" w:rsidP="0081544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81544D" w:rsidRDefault="0081544D" w:rsidP="008154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2AD6">
                              <w:rPr>
                                <w:rStyle w:val="ae"/>
                                <w:rFonts w:cs="Calibri"/>
                                <w:i w:val="0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F03AED">
        <w:rPr>
          <w:sz w:val="26"/>
          <w:szCs w:val="26"/>
        </w:rPr>
        <w:t>оценить соответствие роста размера платы за коммунальные услуги установленным ограничениям размещен</w:t>
      </w:r>
      <w:proofErr w:type="gramEnd"/>
      <w:r w:rsidRPr="00F03AED">
        <w:rPr>
          <w:sz w:val="26"/>
          <w:szCs w:val="26"/>
        </w:rPr>
        <w:t xml:space="preserve"> на официальном сайте РСТ Югры (</w:t>
      </w:r>
      <w:hyperlink r:id="rId15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F03AED">
        <w:rPr>
          <w:rStyle w:val="titlerazdel"/>
          <w:sz w:val="26"/>
          <w:szCs w:val="26"/>
        </w:rPr>
        <w:lastRenderedPageBreak/>
        <w:t>Начиная с 2014 года Правительством Российской Федерации рост совокупной платы граждан за коммунальные услуги ограничен индексами, которые</w:t>
      </w:r>
      <w:proofErr w:type="gramEnd"/>
      <w:r w:rsidRPr="00F03AED">
        <w:rPr>
          <w:rStyle w:val="titlerazdel"/>
          <w:sz w:val="26"/>
          <w:szCs w:val="26"/>
        </w:rPr>
        <w:t xml:space="preserve">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F03AED"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6" w:history="1">
        <w:r w:rsidRPr="00F03AED">
          <w:rPr>
            <w:rStyle w:val="a5"/>
            <w:sz w:val="26"/>
            <w:szCs w:val="26"/>
          </w:rPr>
          <w:t>https://rst.admhmao.ru/dokumenty/zakonodatelstvo</w:t>
        </w:r>
        <w:proofErr w:type="gramEnd"/>
        <w:r w:rsidRPr="00F03AED">
          <w:rPr>
            <w:rStyle w:val="a5"/>
            <w:sz w:val="26"/>
            <w:szCs w:val="26"/>
          </w:rPr>
          <w:t>/</w:t>
        </w:r>
        <w:proofErr w:type="gramStart"/>
        <w:r w:rsidRPr="00F03AED">
          <w:rPr>
            <w:rStyle w:val="a5"/>
            <w:sz w:val="26"/>
            <w:szCs w:val="26"/>
          </w:rPr>
          <w:t>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  <w:proofErr w:type="gramEnd"/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 xml:space="preserve">города </w:t>
      </w:r>
      <w:proofErr w:type="spellStart"/>
      <w:r w:rsidRPr="00CE5A71">
        <w:rPr>
          <w:sz w:val="26"/>
          <w:szCs w:val="26"/>
        </w:rPr>
        <w:t>Лангепас</w:t>
      </w:r>
      <w:proofErr w:type="spellEnd"/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</w:t>
      </w:r>
      <w:proofErr w:type="spellStart"/>
      <w:r w:rsidRPr="00CE5A71"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>селения Белоярского района: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proofErr w:type="spellStart"/>
      <w:r w:rsidRPr="00CE5A71">
        <w:rPr>
          <w:sz w:val="26"/>
          <w:szCs w:val="26"/>
        </w:rPr>
        <w:t>Сорум</w:t>
      </w:r>
      <w:proofErr w:type="spellEnd"/>
      <w:r w:rsidRPr="00CE5A7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CE5A71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</w:t>
      </w:r>
      <w:proofErr w:type="gramEnd"/>
      <w:r w:rsidRPr="00F03AED">
        <w:rPr>
          <w:sz w:val="26"/>
          <w:szCs w:val="26"/>
        </w:rPr>
        <w:t xml:space="preserve">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</w:t>
      </w:r>
      <w:proofErr w:type="spellStart"/>
      <w:r w:rsidRPr="00A264B0">
        <w:rPr>
          <w:sz w:val="26"/>
          <w:szCs w:val="26"/>
        </w:rPr>
        <w:t>Лангепас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A264B0">
        <w:rPr>
          <w:sz w:val="26"/>
          <w:szCs w:val="26"/>
        </w:rPr>
        <w:t>Покачи</w:t>
      </w:r>
      <w:proofErr w:type="spellEnd"/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Для того</w:t>
      </w:r>
      <w:proofErr w:type="gramStart"/>
      <w:r w:rsidRPr="00F03AED">
        <w:rPr>
          <w:rFonts w:eastAsia="Calibri"/>
          <w:sz w:val="26"/>
          <w:szCs w:val="26"/>
        </w:rPr>
        <w:t>,</w:t>
      </w:r>
      <w:proofErr w:type="gramEnd"/>
      <w:r w:rsidRPr="00F03AED">
        <w:rPr>
          <w:rFonts w:eastAsia="Calibri"/>
          <w:sz w:val="26"/>
          <w:szCs w:val="26"/>
        </w:rPr>
        <w:t xml:space="preserve">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 xml:space="preserve">-х </w:t>
      </w:r>
      <w:proofErr w:type="gramStart"/>
      <w:r w:rsidRPr="00F03AED">
        <w:rPr>
          <w:rFonts w:eastAsia="Calibri"/>
          <w:sz w:val="26"/>
          <w:szCs w:val="26"/>
        </w:rPr>
        <w:t>прожива</w:t>
      </w:r>
      <w:r>
        <w:rPr>
          <w:rFonts w:eastAsia="Calibri"/>
          <w:sz w:val="26"/>
          <w:szCs w:val="26"/>
        </w:rPr>
        <w:t>ющих</w:t>
      </w:r>
      <w:proofErr w:type="gramEnd"/>
      <w:r>
        <w:rPr>
          <w:rFonts w:eastAsia="Calibri"/>
          <w:sz w:val="26"/>
          <w:szCs w:val="26"/>
        </w:rPr>
        <w:t xml:space="preserve">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При этом</w:t>
      </w:r>
      <w:proofErr w:type="gramStart"/>
      <w:r w:rsidRPr="00F03AED">
        <w:rPr>
          <w:rFonts w:eastAsia="Calibri"/>
          <w:sz w:val="26"/>
          <w:szCs w:val="26"/>
        </w:rPr>
        <w:t>,</w:t>
      </w:r>
      <w:proofErr w:type="gramEnd"/>
      <w:r w:rsidRPr="00F03AED">
        <w:rPr>
          <w:rFonts w:eastAsia="Calibri"/>
          <w:sz w:val="26"/>
          <w:szCs w:val="26"/>
        </w:rPr>
        <w:t xml:space="preserve">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81544D" w:rsidRPr="001721C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1721C4" w:rsidRDefault="0081544D" w:rsidP="00F8005C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proofErr w:type="spellStart"/>
            <w:r w:rsidRPr="001721C4">
              <w:rPr>
                <w:b/>
                <w:sz w:val="20"/>
              </w:rPr>
              <w:t>Ед</w:t>
            </w:r>
            <w:proofErr w:type="gramStart"/>
            <w:r w:rsidRPr="001721C4">
              <w:rPr>
                <w:b/>
                <w:sz w:val="20"/>
              </w:rPr>
              <w:t>.и</w:t>
            </w:r>
            <w:proofErr w:type="gramEnd"/>
            <w:r w:rsidRPr="001721C4">
              <w:rPr>
                <w:b/>
                <w:sz w:val="20"/>
              </w:rPr>
              <w:t>зм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81544D" w:rsidRPr="001721C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</w:t>
            </w:r>
            <w:proofErr w:type="gramStart"/>
            <w:r w:rsidRPr="001721C4">
              <w:rPr>
                <w:sz w:val="20"/>
              </w:rPr>
              <w:t>.</w:t>
            </w:r>
            <w:proofErr w:type="gramEnd"/>
            <w:r w:rsidRPr="001721C4">
              <w:rPr>
                <w:sz w:val="20"/>
              </w:rPr>
              <w:t xml:space="preserve"> </w:t>
            </w:r>
            <w:proofErr w:type="gramStart"/>
            <w:r w:rsidRPr="001721C4">
              <w:rPr>
                <w:sz w:val="20"/>
              </w:rPr>
              <w:t>р</w:t>
            </w:r>
            <w:proofErr w:type="gramEnd"/>
            <w:r w:rsidRPr="001721C4">
              <w:rPr>
                <w:sz w:val="20"/>
              </w:rPr>
              <w:t>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</w:t>
            </w:r>
            <w:proofErr w:type="gramStart"/>
            <w:r w:rsidRPr="001721C4">
              <w:rPr>
                <w:sz w:val="20"/>
              </w:rPr>
              <w:t>2</w:t>
            </w:r>
            <w:proofErr w:type="gramEnd"/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</w:t>
            </w:r>
            <w:proofErr w:type="gramStart"/>
            <w:r w:rsidRPr="001721C4">
              <w:rPr>
                <w:sz w:val="20"/>
              </w:rPr>
              <w:t>2</w:t>
            </w:r>
            <w:proofErr w:type="gramEnd"/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lastRenderedPageBreak/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proofErr w:type="spellStart"/>
            <w:r w:rsidRPr="001721C4">
              <w:rPr>
                <w:sz w:val="20"/>
              </w:rPr>
              <w:t>кВтч</w:t>
            </w:r>
            <w:proofErr w:type="spellEnd"/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81544D" w:rsidRPr="001721C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 xml:space="preserve">Горячее водоснабжение, в </w:t>
            </w:r>
            <w:proofErr w:type="spellStart"/>
            <w:r w:rsidRPr="007451C4">
              <w:rPr>
                <w:sz w:val="20"/>
              </w:rPr>
              <w:t>т.ч</w:t>
            </w:r>
            <w:proofErr w:type="spellEnd"/>
            <w:r w:rsidRPr="007451C4">
              <w:rPr>
                <w:sz w:val="20"/>
              </w:rPr>
              <w:t>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81544D" w:rsidRPr="001721C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81544D" w:rsidRPr="001721C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Default="0081544D" w:rsidP="00F80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81544D" w:rsidRPr="001721C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4E34DC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6212B2" w:rsidP="006212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</w:t>
            </w:r>
            <w:r w:rsidR="0081544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1544D" w:rsidRPr="00872A7A" w:rsidRDefault="0081544D" w:rsidP="0081544D">
      <w:pPr>
        <w:rPr>
          <w:rFonts w:eastAsia="Calibri"/>
          <w:color w:val="FF0000"/>
          <w:sz w:val="20"/>
          <w:szCs w:val="18"/>
          <w:lang w:eastAsia="en-US"/>
        </w:rPr>
      </w:pPr>
    </w:p>
    <w:p w:rsidR="0081544D" w:rsidRPr="00872A7A" w:rsidRDefault="0081544D" w:rsidP="0081544D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872A7A"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4605" t="15875" r="17780" b="1270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BEEA89" id="Овал 11" o:spid="_x0000_s1026" style="position:absolute;margin-left:248.3pt;margin-top:7.1pt;width:229.2pt;height:6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" filled="f" strokecolor="#385d8a" strokeweight="2pt"/>
            </w:pict>
          </mc:Fallback>
        </mc:AlternateContent>
      </w:r>
    </w:p>
    <w:p w:rsidR="0081544D" w:rsidRPr="00872A7A" w:rsidRDefault="0081544D" w:rsidP="0081544D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 w:rsidRPr="00872A7A">
        <w:rPr>
          <w:rFonts w:ascii="Calibri" w:eastAsia="Calibri" w:hAnsi="Calibri"/>
          <w:color w:val="FF0000"/>
          <w:sz w:val="22"/>
          <w:lang w:eastAsia="en-US"/>
        </w:rPr>
        <w:tab/>
      </w:r>
      <w:r w:rsidRPr="00872A7A">
        <w:rPr>
          <w:rFonts w:eastAsia="Calibri"/>
          <w:b/>
          <w:color w:val="FF0000"/>
          <w:sz w:val="22"/>
          <w:lang w:eastAsia="en-US"/>
        </w:rPr>
        <w:t xml:space="preserve">3700,77/3458,72*100-100 </w:t>
      </w: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944245" cy="904875"/>
                <wp:effectExtent l="12700" t="12065" r="1460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348B" w:rsidRDefault="00F8005C" w:rsidP="0081544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563,15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35ED"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 w:rsidRPr="001721C4"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42" style="position:absolute;left:0;text-align:left;margin-left:22.4pt;margin-top:10.25pt;width:74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81544D" w:rsidRPr="00F3348B" w:rsidRDefault="0081544D" w:rsidP="0081544D"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 w:rsidR="006212B2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563,15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 w:rsidR="0081544D" w:rsidRPr="00F37CD3" w:rsidRDefault="0081544D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8935ED"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 w:rsidRPr="001721C4"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 w:val="22"/>
        </w:rPr>
      </w:pP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56BB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3.9pt;margin-top:.55pt;width:19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" fillcolor="#943634" strokecolor="#e36c0a" strokeweight="1pt"/>
            </w:pict>
          </mc:Fallback>
        </mc:AlternateContent>
      </w: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3A0006">
        <w:rPr>
          <w:rFonts w:eastAsia="Calibri"/>
          <w:b/>
          <w:sz w:val="26"/>
          <w:szCs w:val="26"/>
          <w:lang w:eastAsia="en-US"/>
        </w:rPr>
        <w:t>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  <w:proofErr w:type="gramEnd"/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00F2">
              <w:rPr>
                <w:b/>
                <w:color w:val="000000"/>
                <w:sz w:val="20"/>
              </w:rPr>
              <w:t>Ед</w:t>
            </w:r>
            <w:proofErr w:type="gramStart"/>
            <w:r w:rsidRPr="008500F2">
              <w:rPr>
                <w:b/>
                <w:color w:val="000000"/>
                <w:sz w:val="20"/>
              </w:rPr>
              <w:t>.и</w:t>
            </w:r>
            <w:proofErr w:type="gramEnd"/>
            <w:r w:rsidRPr="008500F2">
              <w:rPr>
                <w:b/>
                <w:color w:val="000000"/>
                <w:sz w:val="20"/>
              </w:rPr>
              <w:t>зм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proofErr w:type="spellStart"/>
            <w:r w:rsidRPr="008500F2">
              <w:rPr>
                <w:sz w:val="20"/>
              </w:rPr>
              <w:t>кВтч</w:t>
            </w:r>
            <w:proofErr w:type="spellEnd"/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 xml:space="preserve">Горячее водоснабжение, в </w:t>
            </w:r>
            <w:proofErr w:type="spellStart"/>
            <w:r w:rsidRPr="007451C4">
              <w:rPr>
                <w:sz w:val="20"/>
              </w:rPr>
              <w:t>т.ч</w:t>
            </w:r>
            <w:proofErr w:type="spellEnd"/>
            <w:r w:rsidRPr="007451C4">
              <w:rPr>
                <w:sz w:val="20"/>
              </w:rPr>
              <w:t>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944245" cy="914400"/>
                <wp:effectExtent l="8255" t="13970" r="952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752,13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A15C2D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15C2D"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43" style="position:absolute;left:0;text-align:left;margin-left:21.3pt;margin-top:10.65pt;width:74.3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" fillcolor="#f2dbdb" strokecolor="#c00000" strokeweight="1pt">
                <v:stroke dashstyle="longDash"/>
                <v:textbox>
                  <w:txbxContent>
                    <w:p w:rsidR="0081544D" w:rsidRPr="00F37CD3" w:rsidRDefault="0081544D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 w:rsidR="00BB1E54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752,13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 w:rsidRPr="00A15C2D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15C2D"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  <w:r w:rsidRPr="00872A7A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12700" t="15875" r="73660" b="127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D068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37.75pt;margin-top:22.45pt;width:100.5pt;height:57.7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" strokecolor="#4a7ebb">
                <v:stroke endarrow="open"/>
              </v:shape>
            </w:pict>
          </mc:Fallback>
        </mc:AlternateContent>
      </w: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Pr="00872A7A" w:rsidRDefault="0081544D" w:rsidP="0081544D">
      <w:pPr>
        <w:jc w:val="both"/>
        <w:rPr>
          <w:sz w:val="22"/>
        </w:rPr>
      </w:pPr>
      <w:r w:rsidRPr="00872A7A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151130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13600" id="Стрелка вправо 4" o:spid="_x0000_s1026" type="#_x0000_t13" style="position:absolute;margin-left:-4.35pt;margin-top:11.9pt;width:20.6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" fillcolor="#943634" strokecolor="#e36c0a" strokeweight="1pt"/>
            </w:pict>
          </mc:Fallback>
        </mc:AlternateConten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81544D" w:rsidP="0056222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F8005C" w:rsidRPr="00377E52" w:rsidRDefault="00F8005C" w:rsidP="0081544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3,4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44" style="position:absolute;left:0;text-align:left;margin-left:1.55pt;margin-top:13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81544D" w:rsidRPr="00B32425" w:rsidRDefault="0081544D" w:rsidP="0056222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81544D" w:rsidRPr="00B32425" w:rsidRDefault="0081544D" w:rsidP="0056222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81544D" w:rsidRPr="00377E52" w:rsidRDefault="00BB1E54" w:rsidP="0081544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 w:rsidR="0081544D">
                        <w:rPr>
                          <w:b/>
                          <w:color w:val="632423"/>
                        </w:rPr>
                        <w:t>/55</w:t>
                      </w:r>
                      <w:r>
                        <w:rPr>
                          <w:b/>
                          <w:color w:val="632423"/>
                        </w:rPr>
                        <w:t>63,</w:t>
                      </w:r>
                      <w:r w:rsidR="0081544D">
                        <w:rPr>
                          <w:b/>
                          <w:color w:val="632423"/>
                        </w:rPr>
                        <w:t>1</w:t>
                      </w:r>
                      <w:r>
                        <w:rPr>
                          <w:b/>
                          <w:color w:val="632423"/>
                        </w:rPr>
                        <w:t>5</w:t>
                      </w:r>
                      <w:r w:rsidR="0081544D"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="0081544D"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3,4</w:t>
                      </w:r>
                      <w:r w:rsidR="0081544D"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12EAA">
        <w:rPr>
          <w:rFonts w:eastAsia="Calibri"/>
          <w:sz w:val="26"/>
          <w:szCs w:val="26"/>
        </w:rPr>
        <w:lastRenderedPageBreak/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A12EAA">
        <w:rPr>
          <w:rFonts w:eastAsia="Calibri"/>
          <w:sz w:val="26"/>
          <w:szCs w:val="26"/>
        </w:rPr>
        <w:t xml:space="preserve">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</w:t>
      </w:r>
      <w:proofErr w:type="gramStart"/>
      <w:r>
        <w:rPr>
          <w:rFonts w:eastAsia="Calibri"/>
          <w:sz w:val="26"/>
          <w:szCs w:val="26"/>
        </w:rPr>
        <w:t>,</w:t>
      </w:r>
      <w:proofErr w:type="gramEnd"/>
      <w:r>
        <w:rPr>
          <w:rFonts w:eastAsia="Calibri"/>
          <w:sz w:val="26"/>
          <w:szCs w:val="26"/>
        </w:rPr>
        <w:t xml:space="preserve">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A542F">
        <w:rPr>
          <w:rFonts w:eastAsia="Calibri"/>
          <w:sz w:val="26"/>
          <w:szCs w:val="26"/>
        </w:rPr>
        <w:t>Контроль за</w:t>
      </w:r>
      <w:proofErr w:type="gramEnd"/>
      <w:r w:rsidRPr="009A542F">
        <w:rPr>
          <w:rFonts w:eastAsia="Calibri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9A542F">
        <w:rPr>
          <w:rFonts w:eastAsia="Calibri"/>
          <w:sz w:val="26"/>
          <w:szCs w:val="26"/>
        </w:rPr>
        <w:t xml:space="preserve">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8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71386B" w:rsidRPr="005C4541" w:rsidRDefault="0081544D" w:rsidP="005C454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 xml:space="preserve">Информация о реализации общественного и государственного </w:t>
      </w:r>
      <w:proofErr w:type="gramStart"/>
      <w:r w:rsidRPr="00A12EAA">
        <w:rPr>
          <w:rFonts w:eastAsia="Calibri"/>
          <w:sz w:val="26"/>
          <w:szCs w:val="26"/>
        </w:rPr>
        <w:t>контроля за</w:t>
      </w:r>
      <w:proofErr w:type="gramEnd"/>
      <w:r w:rsidRPr="00A12EAA">
        <w:rPr>
          <w:rFonts w:eastAsia="Calibri"/>
          <w:sz w:val="26"/>
          <w:szCs w:val="26"/>
        </w:rPr>
        <w:t xml:space="preserve">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8479B9">
        <w:t xml:space="preserve"> </w:t>
      </w:r>
      <w:r>
        <w:t>(</w:t>
      </w:r>
      <w:r w:rsidRPr="005C4541">
        <w:rPr>
          <w:rFonts w:eastAsia="Calibri"/>
          <w:sz w:val="26"/>
          <w:szCs w:val="26"/>
        </w:rPr>
        <w:t>https://rst.admhmao.ru/dlya-grazhdan/informatsiya-o-realizatsii-obshchestvennogo-i-gosudarstvennogo-kontrolya-za-rostom-platy-za-kommunal/4369462/2020).</w:t>
      </w:r>
    </w:p>
    <w:sectPr w:rsidR="0071386B" w:rsidRPr="005C4541" w:rsidSect="004A14B9">
      <w:headerReference w:type="first" r:id="rId19"/>
      <w:footerReference w:type="first" r:id="rId20"/>
      <w:pgSz w:w="11906" w:h="16838"/>
      <w:pgMar w:top="709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D0" w:rsidRDefault="00E446D0" w:rsidP="008D36FA">
      <w:r>
        <w:separator/>
      </w:r>
    </w:p>
  </w:endnote>
  <w:endnote w:type="continuationSeparator" w:id="0">
    <w:p w:rsidR="00E446D0" w:rsidRDefault="00E446D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D0" w:rsidRDefault="00E446D0" w:rsidP="008D36FA">
      <w:r>
        <w:separator/>
      </w:r>
    </w:p>
  </w:footnote>
  <w:footnote w:type="continuationSeparator" w:id="0">
    <w:p w:rsidR="00E446D0" w:rsidRDefault="00E446D0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E5E36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51F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A14B9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4541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8F494C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11028"/>
    <w:rsid w:val="00E23937"/>
    <w:rsid w:val="00E278C7"/>
    <w:rsid w:val="00E32082"/>
    <w:rsid w:val="00E446D0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65234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sr.admhmao.ru/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://www.jsn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st.admhmao.ru/dokumenty/zakonodatelstvo/zakonodatelstvo-reguliruyushchee-obshchie-voprosy-tsenovoy-politik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ias.fas.gov.ru/calc_ku/map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s://depsr.admhmao.ru/kontak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919-255A-4545-A701-8654B238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Долинина Софья Михайловна</cp:lastModifiedBy>
  <cp:revision>4</cp:revision>
  <cp:lastPrinted>2021-07-09T07:07:00Z</cp:lastPrinted>
  <dcterms:created xsi:type="dcterms:W3CDTF">2021-07-12T09:55:00Z</dcterms:created>
  <dcterms:modified xsi:type="dcterms:W3CDTF">2021-07-12T10:01:00Z</dcterms:modified>
</cp:coreProperties>
</file>