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BF4511" w:rsidRDefault="003B1BDE" w:rsidP="00BF451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89E6" wp14:editId="566819F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CF54EED" wp14:editId="49E1C8EB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89E6"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CF54EED" wp14:editId="49E1C8EB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F4511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9EC27" wp14:editId="61A58DE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FB29AD4" wp14:editId="41EA861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EC27"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B29AD4" wp14:editId="41EA861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F4511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29D62" wp14:editId="419C7BB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1898539" wp14:editId="73C8CE32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9D62"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1898539" wp14:editId="73C8CE32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BF4511" w:rsidRPr="00BF4511">
        <w:rPr>
          <w:rFonts w:eastAsiaTheme="minorHAnsi"/>
          <w:b/>
          <w:color w:val="000000"/>
          <w:sz w:val="28"/>
          <w:szCs w:val="28"/>
          <w:lang w:eastAsia="en-US"/>
        </w:rPr>
        <w:t xml:space="preserve">О методологических разъяснениях по вопросам НДС </w:t>
      </w:r>
    </w:p>
    <w:p w:rsidR="00A74AD0" w:rsidRPr="00BF4511" w:rsidRDefault="00BF4511" w:rsidP="00BF451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b/>
          <w:color w:val="000000"/>
          <w:sz w:val="28"/>
          <w:szCs w:val="28"/>
          <w:lang w:eastAsia="en-US"/>
        </w:rPr>
        <w:t>(электронные услуги)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BF4511" w:rsidRPr="00BF4511" w:rsidRDefault="00BF4511" w:rsidP="00BF4511">
      <w:pPr>
        <w:pStyle w:val="Default"/>
        <w:rPr>
          <w:rFonts w:eastAsiaTheme="minorHAnsi"/>
          <w:lang w:eastAsia="en-US"/>
        </w:rPr>
      </w:pPr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Федеральная налоговая служба в связи с введением некоторыми странами в отношении Российской Федерации санкций, создающих для иностранных организаций, оказывающих услуги в электронной форме, указанные в статье 174.2 Налогового Кодекса Российской Федерации (далее — Кодекс), сложности при перечислении денежных средств со счетов иностранных банков на счета Федерального казначейства с целью уплаты НДС в Российской Федерации, сообщает следующее. </w:t>
      </w:r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Российским организациям, индивидуальным предпринимателям, приобретающим указанные в статье 174.2 Кодекса услуги в электронной форме у иностранных организаций, а также иные облагаемые НДС в Российской Федерации услуги и товары, рекомендуется самостоятельно исчислять, удерживать и уплачивать НДС в бюджет Российской Федерации с учетом подхода, изложенного в письме ФНС России от 24.04.2019 № СД-4-3/7937. </w:t>
      </w:r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В случае, если при оказании иностранной организацией услуг в электронной форме (реализации иных облагаемых НДС в Российской Федерации услуг и товаров, местом реализации которых признается территория Российской Федерации), покупатель самостоятельно исчислил, уплатил НДС в бюджет и принял уплаченную сумму НДС к вычету (включил в стоимость (в расходы)), то по указанным операциям у налоговых органов отсутствуют основания требовать повторной уплаты в бюджет НДС иностранной организацией и отражения ею таких операций в налоговой декларации по НДС, а также перерасчета налоговых обязательств у покупателя (исчисленного налога и вычета по налогу (суммы налога, включенной в стоимость (в расходы)). </w:t>
      </w:r>
    </w:p>
    <w:p w:rsidR="00BF4511" w:rsidRPr="00BF4511" w:rsidRDefault="00BF4511" w:rsidP="00BF45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 xml:space="preserve">При этом ФНС России рекомендует покупателям, являющимся российскими организациями и индивидуальными предпринимателями, проинформировать иностранные организации об исполнении таким покупателем функции налогового агента и самостоятельной уплате им НДС в бюджет Российской Федерации. </w:t>
      </w:r>
    </w:p>
    <w:p w:rsidR="00F53AA8" w:rsidRDefault="00BF4511" w:rsidP="00BF4511">
      <w:pPr>
        <w:autoSpaceDE w:val="0"/>
        <w:autoSpaceDN w:val="0"/>
        <w:adjustRightInd w:val="0"/>
        <w:ind w:firstLine="708"/>
      </w:pPr>
      <w:r w:rsidRPr="00BF4511">
        <w:rPr>
          <w:rFonts w:eastAsiaTheme="minorHAnsi"/>
          <w:color w:val="000000"/>
          <w:sz w:val="28"/>
          <w:szCs w:val="28"/>
          <w:lang w:eastAsia="en-US"/>
        </w:rPr>
        <w:t>Указанная позиция согласована с Минфином России.</w:t>
      </w:r>
    </w:p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0AC"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C5C84"/>
    <w:rsid w:val="001E60C6"/>
    <w:rsid w:val="002674B5"/>
    <w:rsid w:val="002C00F8"/>
    <w:rsid w:val="00324CC9"/>
    <w:rsid w:val="003B1BDE"/>
    <w:rsid w:val="00424B4A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BF4511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D11B-B359-496C-B671-2135C4B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5BE9-5226-4D24-863A-AEAD6A5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2022-03-03T10:22:00Z</cp:lastPrinted>
  <dcterms:created xsi:type="dcterms:W3CDTF">2022-04-11T05:39:00Z</dcterms:created>
  <dcterms:modified xsi:type="dcterms:W3CDTF">2022-04-11T05:39:00Z</dcterms:modified>
</cp:coreProperties>
</file>